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34CB" w:rsidRPr="00775EB7" w:rsidRDefault="00B634CB" w:rsidP="00B634CB">
      <w:pPr>
        <w:jc w:val="center"/>
        <w:rPr>
          <w:rFonts w:ascii="Garamond" w:hAnsi="Garamond"/>
          <w:b/>
          <w:sz w:val="22"/>
          <w:szCs w:val="22"/>
        </w:rPr>
      </w:pPr>
      <w:r w:rsidRPr="00775EB7">
        <w:rPr>
          <w:rFonts w:ascii="Garamond" w:hAnsi="Garamond"/>
          <w:b/>
          <w:sz w:val="22"/>
          <w:szCs w:val="22"/>
        </w:rPr>
        <w:t>Tantárgyi program</w:t>
      </w:r>
    </w:p>
    <w:p w:rsidR="00B634CB" w:rsidRPr="00775EB7" w:rsidRDefault="00B634CB" w:rsidP="00B634CB">
      <w:pPr>
        <w:rPr>
          <w:rFonts w:ascii="Garamond" w:hAnsi="Garamond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9"/>
        <w:gridCol w:w="4637"/>
      </w:tblGrid>
      <w:tr w:rsidR="00B634CB" w:rsidRPr="00775EB7" w:rsidTr="00DE5211">
        <w:tc>
          <w:tcPr>
            <w:tcW w:w="4503" w:type="dxa"/>
            <w:vMerge w:val="restart"/>
          </w:tcPr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Tantárgy neve: </w:t>
            </w:r>
            <w:r w:rsidRPr="00775EB7">
              <w:rPr>
                <w:rFonts w:ascii="Garamond" w:hAnsi="Garamond"/>
                <w:b/>
                <w:sz w:val="22"/>
                <w:szCs w:val="22"/>
              </w:rPr>
              <w:t>Vitarendezés a nemzetközi jogban</w:t>
            </w:r>
          </w:p>
        </w:tc>
        <w:tc>
          <w:tcPr>
            <w:tcW w:w="4709" w:type="dxa"/>
          </w:tcPr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Neptun kódja:DFDIÁJ263N4, DFDIÁJ263L4</w:t>
            </w:r>
          </w:p>
        </w:tc>
      </w:tr>
      <w:tr w:rsidR="00B634CB" w:rsidRPr="00775EB7" w:rsidTr="00DE5211">
        <w:tc>
          <w:tcPr>
            <w:tcW w:w="4503" w:type="dxa"/>
            <w:vMerge/>
          </w:tcPr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4709" w:type="dxa"/>
          </w:tcPr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 jellege: kötelezően választandó</w:t>
            </w:r>
          </w:p>
        </w:tc>
      </w:tr>
      <w:tr w:rsidR="00B634CB" w:rsidRPr="00775EB7" w:rsidTr="00DE5211">
        <w:tc>
          <w:tcPr>
            <w:tcW w:w="9212" w:type="dxa"/>
            <w:gridSpan w:val="2"/>
          </w:tcPr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Tantárgyfelelős neve, beosztása: Dr. Raisz Anikó egyetemi docens</w:t>
            </w:r>
          </w:p>
        </w:tc>
      </w:tr>
      <w:tr w:rsidR="00B634CB" w:rsidRPr="00775EB7" w:rsidTr="00DE5211">
        <w:tc>
          <w:tcPr>
            <w:tcW w:w="9212" w:type="dxa"/>
            <w:gridSpan w:val="2"/>
          </w:tcPr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Oktatásba bevont oktatók neve, beosztása:</w:t>
            </w:r>
          </w:p>
        </w:tc>
      </w:tr>
      <w:tr w:rsidR="00B634CB" w:rsidRPr="00775EB7" w:rsidTr="00DE5211">
        <w:tc>
          <w:tcPr>
            <w:tcW w:w="4503" w:type="dxa"/>
          </w:tcPr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Félév: páratlan/</w:t>
            </w:r>
            <w:r w:rsidRPr="00775EB7">
              <w:rPr>
                <w:rFonts w:ascii="Garamond" w:hAnsi="Garamond"/>
                <w:sz w:val="22"/>
                <w:szCs w:val="22"/>
                <w:u w:val="single"/>
              </w:rPr>
              <w:t>páros</w:t>
            </w:r>
          </w:p>
        </w:tc>
        <w:tc>
          <w:tcPr>
            <w:tcW w:w="4709" w:type="dxa"/>
          </w:tcPr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Óraszám/félév: 15</w:t>
            </w:r>
          </w:p>
        </w:tc>
      </w:tr>
      <w:tr w:rsidR="00B634CB" w:rsidRPr="00775EB7" w:rsidTr="00DE5211">
        <w:tc>
          <w:tcPr>
            <w:tcW w:w="4503" w:type="dxa"/>
          </w:tcPr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Kreditérték: 3</w:t>
            </w:r>
          </w:p>
        </w:tc>
        <w:tc>
          <w:tcPr>
            <w:tcW w:w="4709" w:type="dxa"/>
          </w:tcPr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Számonkérés: kollokvium</w:t>
            </w:r>
          </w:p>
        </w:tc>
      </w:tr>
      <w:tr w:rsidR="00B634CB" w:rsidRPr="00775EB7" w:rsidTr="00DE5211">
        <w:tc>
          <w:tcPr>
            <w:tcW w:w="9212" w:type="dxa"/>
            <w:gridSpan w:val="2"/>
          </w:tcPr>
          <w:p w:rsidR="00B634CB" w:rsidRPr="00775EB7" w:rsidRDefault="00B634CB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 feladata, célja:</w:t>
            </w:r>
          </w:p>
          <w:p w:rsidR="00B634CB" w:rsidRPr="00775EB7" w:rsidRDefault="00B634CB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 feladata, célja: A tárgy oktatásának célja, hogy átfogó képet adjon a hallgatóknak a nemzetközi jogban használt vitarendezési metódusokról, a diplomáciai és bírói vitarendezési utakról, különös tekintettel az elmúlt évtizedek fejleményeire.</w:t>
            </w:r>
          </w:p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B634CB" w:rsidRPr="00775EB7" w:rsidTr="00DE5211">
        <w:tc>
          <w:tcPr>
            <w:tcW w:w="9212" w:type="dxa"/>
            <w:gridSpan w:val="2"/>
          </w:tcPr>
          <w:p w:rsidR="00B634CB" w:rsidRPr="00775EB7" w:rsidRDefault="00B634CB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Tantárgyi tematika (heti bontásban):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Bevezetés. A nemzetközi vitarendezés a történelemben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A nemzetközi vitarendezés konszolidációja a XX. században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Nemzetközi vitarendezés és a gazdasági kérdések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4. A nem bírói típusú vitarendezés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5. A nemzetközi választottbíróságok jellemzői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6. A nemzetközi választottbíróságok működése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7. Magyarország és a nemzetközi választottbíróságok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8. A Nemzetközi Bíróság szerepe a nemzetközi jogban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9. A Nemzetközi Bíróság határvitái 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10. A Nemzetközi Bíróság és Magyarország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11. A regionális vitarendezési rendszerek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12. Speciális hatáskörű nemzetközi bíróságok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12. A nemzetközi bíróságok szerepe a nemzetközi jog fejlesztésében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13. Nemzetközi vitarendezés a XXI. században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14. Magyarország érdekeinek érvényesítési lehetőségei a XXI. század nemzetközi vitarendezési keretei között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15. Összegzés</w:t>
            </w:r>
          </w:p>
        </w:tc>
      </w:tr>
      <w:tr w:rsidR="00B634CB" w:rsidRPr="00775EB7" w:rsidTr="00DE5211">
        <w:tc>
          <w:tcPr>
            <w:tcW w:w="9212" w:type="dxa"/>
            <w:gridSpan w:val="2"/>
          </w:tcPr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Számonkérés módja</w:t>
            </w:r>
            <w:r w:rsidRPr="00775EB7">
              <w:rPr>
                <w:rFonts w:ascii="Garamond" w:hAnsi="Garamond"/>
                <w:sz w:val="22"/>
                <w:szCs w:val="22"/>
              </w:rPr>
              <w:t>: írásbeli</w:t>
            </w:r>
          </w:p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B634CB" w:rsidRPr="00775EB7" w:rsidTr="00DE5211">
        <w:tc>
          <w:tcPr>
            <w:tcW w:w="9212" w:type="dxa"/>
            <w:gridSpan w:val="2"/>
          </w:tcPr>
          <w:p w:rsidR="00B634CB" w:rsidRPr="00775EB7" w:rsidRDefault="00B634CB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Kötelező irodalom:</w:t>
            </w:r>
          </w:p>
          <w:p w:rsidR="00B634CB" w:rsidRPr="00775EB7" w:rsidRDefault="00B634CB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KOVÁCS Péter: A nemzetközi jog fejlesztésének lehetőségei és korlátai a nemzetközi bíróságok joggyakorlatában. (A Pázmány Péter Katolikus Egyetem Jog- és  Államtudományi Karának könyvei. Jogtudományi Monográfiák 1.) Budapest: Pázmány Péter Katolikus Egyetem, Jog- és Államtudományi Kar, 2010. 6-120. o.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KOVÁCS Péter: Szemtől szembe… Avagy hogyan kölcsönöznek egymástól a nemzetközi bíróságok. Acta Humana, 2002., N° 49., pp. 4-11.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KARDOS Gábor: Konstrukció és destrukció a nemzetközi bíráskodásban. Jogtudományi Közlöny, 2006., Vol. 61., No. 6., pp. 238-241.</w:t>
            </w:r>
          </w:p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TRINDADE, Antonio Augusto Cançado: General Course on Public International Law, in: Recueil des cours, Académie de droit international, La Haye, 2005, Tome 316. Martinus Nijhoff, Leiden-Boston, 2006. pp. 37-60.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KUPFER SCHNEIDER, Andrea: Not quite a World without Trials: Why International Dispute Resolution is Increasingly Judicialized. Journal of Dispute Resolution, 2006., pp. 119-127.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KOVÁCS Péter: Developments and Limits in International Jurisprudence. Denver Journal of International Law and Policy, Summer 2003, Vol. 31., pp. 461-487.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4. KINGSBURY, Benedict: Foreword: Is the Proliferation of International Courts and Tribunals a Systematic Problem? N.Y.U. Journal of International Law and Politics, Vol. 31., 1998-1999., pp. 679-697.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</w:p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B634CB" w:rsidRPr="00775EB7" w:rsidTr="00DE5211">
        <w:tc>
          <w:tcPr>
            <w:tcW w:w="9212" w:type="dxa"/>
            <w:gridSpan w:val="2"/>
          </w:tcPr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lastRenderedPageBreak/>
              <w:t>Ajánlott irodalom</w:t>
            </w:r>
            <w:r w:rsidRPr="00775EB7">
              <w:rPr>
                <w:rFonts w:ascii="Garamond" w:hAnsi="Garamond"/>
                <w:sz w:val="22"/>
                <w:szCs w:val="22"/>
              </w:rPr>
              <w:t>:</w:t>
            </w:r>
          </w:p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LAMM Vanda: A Nemzetközi Bíróság kötelező joghatósági rendszere. KJK-Kerszöv, Budapest, 2005.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HERCZEGH Géza: Bős-Nagymaros. Valóság, 200462., pp. 1-20.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NAGY Boldizsár: Bős-brevárium – Áttekintés a jogvita állásáról. Beszélő, 2005., Vol. 10., No. 10., p. 35.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4. RAISZ Anikó: </w:t>
            </w:r>
            <w:hyperlink r:id="rId4" w:tgtFrame="_blank" w:history="1">
              <w:r w:rsidRPr="00775EB7">
                <w:rPr>
                  <w:rFonts w:ascii="Garamond" w:hAnsi="Garamond"/>
                  <w:sz w:val="22"/>
                  <w:szCs w:val="22"/>
                </w:rPr>
                <w:t>Az emberi jogok fejlődése az Emberi Jogok Európai és Amerikaközi Bíróságának kölcsönhatásában</w:t>
              </w:r>
            </w:hyperlink>
            <w:r w:rsidRPr="00775EB7">
              <w:rPr>
                <w:rFonts w:ascii="Garamond" w:hAnsi="Garamond"/>
                <w:sz w:val="22"/>
                <w:szCs w:val="22"/>
              </w:rPr>
              <w:t>. Novotni Kiadó, Miskolc, 2010.</w:t>
            </w:r>
          </w:p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SEGOVIA, Alexander: The Reparations Proposals of the Truth Commissions in El Salvador and Haiti: A History of Noncompliance. In: De Greiff, Pablo (ed.): The Handbook of Reparations. Oxford, Oxford University Press, 2006, pp. 154-175.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SOHN, Louis B.: The New International Law: Protection of Individuals Rather than States. In: Shelton, Dinah: Regional Protection of Human Rights. Oxford University Press, New York, 2008, pp. 1-15.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4. SULLIVAN, Scott M.: Changing the Premise of International Legal Remedies: The Unfounded Adoption of Assurances and Guarantees of Non-Repetition. UCLA Journal of International Law and Foreign Affairs, Fall/Winter 2002-2003, Vol. 7., pp. 265-292.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5. SUTTON, Ingrid Nifosi: Compliance with Decisions on Reparations. In: Grossman, Dean Claudio et al.: Reparations in the Inter-American System: A Comparative Approach. American University Law Review, August 2007, Vol. 56., pp. 1375-1466.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6. TREVES, Tullio: Conflicts between the International Tribunal for the Law of the Sea and the International Court of Justice. N.Y.U. Journal of International Law and Politics, Vol. 31., 1998-1999., pp. 809-822.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7. KOLB, Robert: Note on New International Case-law Concerning the Binding Character of Provisional Measures. Nordic Journal of International Law, 2005/74. pp. 117-129.</w:t>
            </w:r>
          </w:p>
          <w:p w:rsidR="00B634CB" w:rsidRPr="00775EB7" w:rsidRDefault="00B634CB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</w:p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B634CB" w:rsidRPr="00775EB7" w:rsidTr="00DE5211">
        <w:tc>
          <w:tcPr>
            <w:tcW w:w="9212" w:type="dxa"/>
            <w:gridSpan w:val="2"/>
          </w:tcPr>
          <w:p w:rsidR="00B634CB" w:rsidRPr="00775EB7" w:rsidRDefault="00B634CB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További szakirodalom:</w:t>
            </w:r>
          </w:p>
          <w:p w:rsidR="00B634CB" w:rsidRPr="00775EB7" w:rsidRDefault="00B634CB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</w:tbl>
    <w:p w:rsidR="00D32926" w:rsidRDefault="00B634CB">
      <w:bookmarkStart w:id="0" w:name="_GoBack"/>
      <w:bookmarkEnd w:id="0"/>
    </w:p>
    <w:sectPr w:rsidR="00D32926" w:rsidSect="00C3598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4CB"/>
    <w:rsid w:val="00622808"/>
    <w:rsid w:val="00B634CB"/>
    <w:rsid w:val="00C3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6B8122"/>
  <w14:defaultImageDpi w14:val="32767"/>
  <w15:chartTrackingRefBased/>
  <w15:docId w15:val="{93E0BD19-5237-0944-8637-F68AEAD01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">
    <w:name w:val="Normal"/>
    <w:qFormat/>
    <w:rsid w:val="00B634CB"/>
    <w:rPr>
      <w:rFonts w:eastAsia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2.mtmt.hu/gui2/?mode=browse&amp;params=publication;1377930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599</Words>
  <Characters>4136</Characters>
  <Application>Microsoft Office Word</Application>
  <DocSecurity>0</DocSecurity>
  <Lines>34</Lines>
  <Paragraphs>9</Paragraphs>
  <ScaleCrop>false</ScaleCrop>
  <Company/>
  <LinksUpToDate>false</LinksUpToDate>
  <CharactersWithSpaces>4726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Office-felhasználó</dc:creator>
  <cp:keywords/>
  <dc:description/>
  <cp:lastModifiedBy>Microsoft Office-felhasználó</cp:lastModifiedBy>
  <cp:revision>1</cp:revision>
  <dcterms:created xsi:type="dcterms:W3CDTF">2024-09-05T09:30:00Z</dcterms:created>
  <dcterms:modified xsi:type="dcterms:W3CDTF">2024-09-05T09:30:00Z</dcterms:modified>
</cp:coreProperties>
</file>